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D997" w14:textId="0AE48BA3" w:rsidR="009136BF" w:rsidRDefault="009136BF" w:rsidP="009136BF">
      <w:pPr>
        <w:pStyle w:val="Heading2"/>
        <w:rPr>
          <w:rStyle w:val="ui-provider"/>
        </w:rPr>
      </w:pPr>
      <w:r>
        <w:rPr>
          <w:rStyle w:val="ui-provider"/>
        </w:rPr>
        <w:t>Technical Committee Restructuring</w:t>
      </w:r>
    </w:p>
    <w:p w14:paraId="608F3342" w14:textId="4689E532" w:rsidR="009136BF" w:rsidRDefault="007F6228" w:rsidP="009136BF">
      <w:pPr>
        <w:rPr>
          <w:rStyle w:val="ui-provider"/>
        </w:rPr>
      </w:pPr>
      <w:r>
        <w:rPr>
          <w:rStyle w:val="ui-provider"/>
        </w:rPr>
        <w:t xml:space="preserve">Goal: </w:t>
      </w:r>
      <w:r w:rsidR="009136BF">
        <w:rPr>
          <w:rStyle w:val="ui-provider"/>
        </w:rPr>
        <w:t>Ensure that the committee categorization effort approved in 2022 is effectively</w:t>
      </w:r>
      <w:r w:rsidR="001C35ED">
        <w:rPr>
          <w:rStyle w:val="ui-provider"/>
        </w:rPr>
        <w:t xml:space="preserve"> creating </w:t>
      </w:r>
      <w:r w:rsidR="00FB7F77">
        <w:rPr>
          <w:rStyle w:val="ui-provider"/>
        </w:rPr>
        <w:t>nimbleness</w:t>
      </w:r>
      <w:r w:rsidR="001C35ED">
        <w:rPr>
          <w:rStyle w:val="ui-provider"/>
        </w:rPr>
        <w:t xml:space="preserve">, promoting cross-committee communication, </w:t>
      </w:r>
      <w:r w:rsidR="005C3178">
        <w:rPr>
          <w:rStyle w:val="ui-provider"/>
        </w:rPr>
        <w:t>leveragin</w:t>
      </w:r>
      <w:r w:rsidR="001C35ED">
        <w:rPr>
          <w:rStyle w:val="ui-provider"/>
        </w:rPr>
        <w:t>g synergies</w:t>
      </w:r>
      <w:r w:rsidR="00E56D7F">
        <w:rPr>
          <w:rStyle w:val="ui-provider"/>
        </w:rPr>
        <w:t xml:space="preserve">, and providing </w:t>
      </w:r>
      <w:r w:rsidR="003760B2">
        <w:rPr>
          <w:rStyle w:val="ui-provider"/>
        </w:rPr>
        <w:t>an effective means of stakeholder engagement for the</w:t>
      </w:r>
      <w:r w:rsidR="00F25A74">
        <w:rPr>
          <w:rStyle w:val="ui-provider"/>
        </w:rPr>
        <w:t xml:space="preserve"> WECC technical</w:t>
      </w:r>
      <w:r w:rsidR="003760B2">
        <w:rPr>
          <w:rStyle w:val="ui-provider"/>
        </w:rPr>
        <w:t xml:space="preserve"> committee structure. </w:t>
      </w:r>
    </w:p>
    <w:p w14:paraId="0CB3AFD1" w14:textId="705AB25A" w:rsidR="00F83B52" w:rsidRDefault="00F83B52" w:rsidP="00A7047B">
      <w:pPr>
        <w:rPr>
          <w:rStyle w:val="ui-provider"/>
        </w:rPr>
      </w:pPr>
      <w:r>
        <w:rPr>
          <w:rStyle w:val="ui-provider"/>
        </w:rPr>
        <w:t xml:space="preserve">Measures of Success: </w:t>
      </w:r>
    </w:p>
    <w:p w14:paraId="7A5F9057" w14:textId="080A42DC" w:rsidR="009136BF" w:rsidRDefault="009136BF" w:rsidP="009136BF">
      <w:pPr>
        <w:pStyle w:val="ListParagraph"/>
        <w:numPr>
          <w:ilvl w:val="0"/>
          <w:numId w:val="20"/>
        </w:numPr>
        <w:rPr>
          <w:rStyle w:val="ui-provider"/>
        </w:rPr>
      </w:pPr>
      <w:r>
        <w:rPr>
          <w:rStyle w:val="ui-provider"/>
        </w:rPr>
        <w:t>The transition of groups into the new structure is complete</w:t>
      </w:r>
      <w:r w:rsidR="007F6228">
        <w:rPr>
          <w:rStyle w:val="ui-provider"/>
        </w:rPr>
        <w:t xml:space="preserve"> by </w:t>
      </w:r>
      <w:proofErr w:type="gramStart"/>
      <w:r w:rsidR="007F6228">
        <w:rPr>
          <w:rStyle w:val="ui-provider"/>
        </w:rPr>
        <w:t>Q2</w:t>
      </w:r>
      <w:proofErr w:type="gramEnd"/>
      <w:r w:rsidR="007F6228">
        <w:rPr>
          <w:rStyle w:val="ui-provider"/>
        </w:rPr>
        <w:t xml:space="preserve"> </w:t>
      </w:r>
    </w:p>
    <w:p w14:paraId="564FC3CC" w14:textId="795CD3FC" w:rsidR="009136BF" w:rsidRDefault="007F6228" w:rsidP="009136BF">
      <w:pPr>
        <w:pStyle w:val="ListParagraph"/>
        <w:numPr>
          <w:ilvl w:val="0"/>
          <w:numId w:val="20"/>
        </w:numPr>
        <w:rPr>
          <w:rStyle w:val="ui-provider"/>
        </w:rPr>
      </w:pPr>
      <w:r>
        <w:rPr>
          <w:rStyle w:val="ui-provider"/>
        </w:rPr>
        <w:t xml:space="preserve">Stakeholders and staff </w:t>
      </w:r>
      <w:r w:rsidR="009136BF">
        <w:rPr>
          <w:rStyle w:val="ui-provider"/>
        </w:rPr>
        <w:t>understand why the structure was changed and how the new structure should support WECC’s goals and strategic objectives</w:t>
      </w:r>
      <w:r>
        <w:rPr>
          <w:rStyle w:val="ui-provider"/>
        </w:rPr>
        <w:t xml:space="preserve"> (might measure this via the metrics)</w:t>
      </w:r>
    </w:p>
    <w:p w14:paraId="36AA4F03" w14:textId="1B1DA3D9" w:rsidR="009136BF" w:rsidRDefault="009136BF" w:rsidP="009136BF">
      <w:pPr>
        <w:pStyle w:val="ListParagraph"/>
        <w:numPr>
          <w:ilvl w:val="0"/>
          <w:numId w:val="20"/>
        </w:numPr>
        <w:rPr>
          <w:rStyle w:val="ui-provider"/>
        </w:rPr>
      </w:pPr>
      <w:r>
        <w:rPr>
          <w:rStyle w:val="ui-provider"/>
        </w:rPr>
        <w:t xml:space="preserve">The JGC metrics show increased </w:t>
      </w:r>
      <w:r w:rsidR="007F6228">
        <w:rPr>
          <w:rStyle w:val="ui-provider"/>
        </w:rPr>
        <w:t xml:space="preserve">stakeholder </w:t>
      </w:r>
      <w:r>
        <w:rPr>
          <w:rStyle w:val="ui-provider"/>
        </w:rPr>
        <w:t>engagement in the technical committee structure</w:t>
      </w:r>
      <w:r w:rsidR="007F6228">
        <w:rPr>
          <w:rStyle w:val="ui-provider"/>
        </w:rPr>
        <w:t xml:space="preserve"> (maybe look at the metrics and state how much growth and by when)</w:t>
      </w:r>
    </w:p>
    <w:p w14:paraId="5B238C75" w14:textId="0277B5CC" w:rsidR="007F6228" w:rsidRDefault="00CD42FC" w:rsidP="009136BF">
      <w:pPr>
        <w:pStyle w:val="ListParagraph"/>
        <w:numPr>
          <w:ilvl w:val="0"/>
          <w:numId w:val="20"/>
        </w:numPr>
        <w:rPr>
          <w:rStyle w:val="ui-provider"/>
        </w:rPr>
      </w:pPr>
      <w:r>
        <w:rPr>
          <w:rStyle w:val="ui-provider"/>
        </w:rPr>
        <w:t xml:space="preserve">The JGC has conducted a </w:t>
      </w:r>
      <w:r w:rsidR="007F6228">
        <w:rPr>
          <w:rStyle w:val="ui-provider"/>
        </w:rPr>
        <w:t xml:space="preserve">1-year review of </w:t>
      </w:r>
      <w:r>
        <w:rPr>
          <w:rStyle w:val="ui-provider"/>
        </w:rPr>
        <w:t xml:space="preserve">the new </w:t>
      </w:r>
      <w:proofErr w:type="gramStart"/>
      <w:r w:rsidR="007F6228">
        <w:rPr>
          <w:rStyle w:val="ui-provider"/>
        </w:rPr>
        <w:t>structure</w:t>
      </w:r>
      <w:proofErr w:type="gramEnd"/>
    </w:p>
    <w:p w14:paraId="1584CF7F" w14:textId="5E649659" w:rsidR="009435B3" w:rsidRDefault="009435B3" w:rsidP="009136BF">
      <w:pPr>
        <w:pStyle w:val="ListParagraph"/>
        <w:numPr>
          <w:ilvl w:val="0"/>
          <w:numId w:val="20"/>
        </w:numPr>
        <w:rPr>
          <w:rStyle w:val="ui-provider"/>
        </w:rPr>
      </w:pPr>
      <w:r>
        <w:rPr>
          <w:rStyle w:val="ui-provider"/>
        </w:rPr>
        <w:t xml:space="preserve">The JGC </w:t>
      </w:r>
      <w:r w:rsidR="008254F3">
        <w:rPr>
          <w:rStyle w:val="ui-provider"/>
        </w:rPr>
        <w:t xml:space="preserve">has conducted a revamped and robust committee leadership </w:t>
      </w:r>
      <w:proofErr w:type="gramStart"/>
      <w:r w:rsidR="008254F3">
        <w:rPr>
          <w:rStyle w:val="ui-provider"/>
        </w:rPr>
        <w:t>training</w:t>
      </w:r>
      <w:proofErr w:type="gramEnd"/>
    </w:p>
    <w:p w14:paraId="444F59CC" w14:textId="10CAD71D" w:rsidR="009136BF" w:rsidRDefault="009136BF" w:rsidP="009136BF">
      <w:pPr>
        <w:pStyle w:val="Heading2"/>
        <w:rPr>
          <w:rStyle w:val="ui-provider"/>
        </w:rPr>
      </w:pPr>
      <w:r>
        <w:rPr>
          <w:rStyle w:val="ui-provider"/>
        </w:rPr>
        <w:t>Strategic Alignment</w:t>
      </w:r>
    </w:p>
    <w:p w14:paraId="73F001B4" w14:textId="6BB87AE0" w:rsidR="007F6228" w:rsidRDefault="007F6228" w:rsidP="009136BF">
      <w:pPr>
        <w:rPr>
          <w:rStyle w:val="ui-provider"/>
        </w:rPr>
      </w:pPr>
      <w:r>
        <w:rPr>
          <w:rStyle w:val="ui-provider"/>
        </w:rPr>
        <w:t xml:space="preserve">Goal: Align technical committee </w:t>
      </w:r>
      <w:r w:rsidR="00CE190C">
        <w:rPr>
          <w:rStyle w:val="ui-provider"/>
        </w:rPr>
        <w:t>structure, operations</w:t>
      </w:r>
      <w:r w:rsidR="00EA5C7C">
        <w:rPr>
          <w:rStyle w:val="ui-provider"/>
        </w:rPr>
        <w:t>,</w:t>
      </w:r>
      <w:r w:rsidR="00CE190C">
        <w:rPr>
          <w:rStyle w:val="ui-provider"/>
        </w:rPr>
        <w:t xml:space="preserve"> and </w:t>
      </w:r>
      <w:r>
        <w:rPr>
          <w:rStyle w:val="ui-provider"/>
        </w:rPr>
        <w:t>work with WECC’s strategic objectives</w:t>
      </w:r>
    </w:p>
    <w:p w14:paraId="55A70008" w14:textId="09F39993" w:rsidR="00EA5C7C" w:rsidRDefault="00EA5C7C" w:rsidP="009136BF">
      <w:pPr>
        <w:rPr>
          <w:rStyle w:val="ui-provider"/>
        </w:rPr>
      </w:pPr>
      <w:r>
        <w:rPr>
          <w:rStyle w:val="ui-provider"/>
        </w:rPr>
        <w:t>Measures of Success</w:t>
      </w:r>
    </w:p>
    <w:p w14:paraId="59A2ABA6" w14:textId="77777777" w:rsidR="007F6228" w:rsidRDefault="007F6228" w:rsidP="007F6228">
      <w:pPr>
        <w:pStyle w:val="ListParagraph"/>
        <w:numPr>
          <w:ilvl w:val="0"/>
          <w:numId w:val="21"/>
        </w:numPr>
        <w:rPr>
          <w:rStyle w:val="ui-provider"/>
        </w:rPr>
      </w:pPr>
      <w:r>
        <w:rPr>
          <w:rStyle w:val="ui-provider"/>
        </w:rPr>
        <w:t xml:space="preserve">Technical committee work and WECC staff work align and complement </w:t>
      </w:r>
      <w:proofErr w:type="gramStart"/>
      <w:r>
        <w:rPr>
          <w:rStyle w:val="ui-provider"/>
        </w:rPr>
        <w:t>each other</w:t>
      </w:r>
      <w:proofErr w:type="gramEnd"/>
    </w:p>
    <w:p w14:paraId="694BF5CE" w14:textId="77777777" w:rsidR="007F6228" w:rsidRDefault="009136BF" w:rsidP="007F6228">
      <w:pPr>
        <w:pStyle w:val="ListParagraph"/>
        <w:numPr>
          <w:ilvl w:val="0"/>
          <w:numId w:val="21"/>
        </w:numPr>
        <w:rPr>
          <w:rStyle w:val="ui-provider"/>
        </w:rPr>
      </w:pPr>
      <w:r>
        <w:rPr>
          <w:rStyle w:val="ui-provider"/>
        </w:rPr>
        <w:t xml:space="preserve">WECC management and </w:t>
      </w:r>
      <w:r w:rsidR="007F6228">
        <w:rPr>
          <w:rStyle w:val="ui-provider"/>
        </w:rPr>
        <w:t xml:space="preserve">technical committee leadership communicate on alignment </w:t>
      </w:r>
      <w:proofErr w:type="gramStart"/>
      <w:r w:rsidR="007F6228">
        <w:rPr>
          <w:rStyle w:val="ui-provider"/>
        </w:rPr>
        <w:t>objectives</w:t>
      </w:r>
      <w:proofErr w:type="gramEnd"/>
    </w:p>
    <w:p w14:paraId="24421DFF" w14:textId="67B4506C" w:rsidR="009136BF" w:rsidRDefault="007F6228" w:rsidP="007F6228">
      <w:pPr>
        <w:pStyle w:val="ListParagraph"/>
        <w:numPr>
          <w:ilvl w:val="0"/>
          <w:numId w:val="21"/>
        </w:numPr>
        <w:rPr>
          <w:rStyle w:val="ui-provider"/>
        </w:rPr>
      </w:pPr>
      <w:r>
        <w:rPr>
          <w:rStyle w:val="ui-provider"/>
        </w:rPr>
        <w:t>Develop joint sessions for the technical committees that highlight cross-functional</w:t>
      </w:r>
      <w:r w:rsidR="002A41E5">
        <w:rPr>
          <w:rStyle w:val="ui-provider"/>
        </w:rPr>
        <w:t xml:space="preserve"> </w:t>
      </w:r>
      <w:r w:rsidR="00536F1A">
        <w:rPr>
          <w:rStyle w:val="ui-provider"/>
        </w:rPr>
        <w:t>and/</w:t>
      </w:r>
      <w:r w:rsidR="00BD3125">
        <w:rPr>
          <w:rStyle w:val="ui-provider"/>
        </w:rPr>
        <w:t xml:space="preserve">or </w:t>
      </w:r>
      <w:r>
        <w:rPr>
          <w:rStyle w:val="ui-provider"/>
        </w:rPr>
        <w:t xml:space="preserve">strategic-level interests of the technical committees and focus on risks to reliability and </w:t>
      </w:r>
      <w:proofErr w:type="gramStart"/>
      <w:r>
        <w:rPr>
          <w:rStyle w:val="ui-provider"/>
        </w:rPr>
        <w:t>security</w:t>
      </w:r>
      <w:proofErr w:type="gramEnd"/>
    </w:p>
    <w:p w14:paraId="07A5AF9D" w14:textId="44236B8C" w:rsidR="007F6228" w:rsidRDefault="007F6228" w:rsidP="007F6228">
      <w:pPr>
        <w:pStyle w:val="ListParagraph"/>
        <w:numPr>
          <w:ilvl w:val="0"/>
          <w:numId w:val="21"/>
        </w:numPr>
        <w:rPr>
          <w:rStyle w:val="ui-provider"/>
        </w:rPr>
      </w:pPr>
      <w:r>
        <w:rPr>
          <w:rStyle w:val="ui-provider"/>
        </w:rPr>
        <w:t xml:space="preserve">Conduct a review of the alignment of the committees as part of the 1-year </w:t>
      </w:r>
      <w:proofErr w:type="gramStart"/>
      <w:r>
        <w:rPr>
          <w:rStyle w:val="ui-provider"/>
        </w:rPr>
        <w:t>review</w:t>
      </w:r>
      <w:proofErr w:type="gramEnd"/>
    </w:p>
    <w:p w14:paraId="099628E6" w14:textId="0B7E2A76" w:rsidR="009136BF" w:rsidRDefault="007F6228" w:rsidP="007F6228">
      <w:pPr>
        <w:pStyle w:val="Heading2"/>
        <w:rPr>
          <w:rStyle w:val="ui-provider"/>
        </w:rPr>
      </w:pPr>
      <w:r>
        <w:rPr>
          <w:rStyle w:val="ui-provider"/>
        </w:rPr>
        <w:t>Risk</w:t>
      </w:r>
      <w:r w:rsidR="002949C3">
        <w:rPr>
          <w:rStyle w:val="ui-provider"/>
        </w:rPr>
        <w:t xml:space="preserve"> Prioritization</w:t>
      </w:r>
    </w:p>
    <w:p w14:paraId="0ECC9532" w14:textId="1F0C4005" w:rsidR="007F6228" w:rsidRDefault="007F6228" w:rsidP="007F6228">
      <w:pPr>
        <w:rPr>
          <w:rStyle w:val="ui-provider"/>
        </w:rPr>
      </w:pPr>
      <w:r>
        <w:rPr>
          <w:rStyle w:val="ui-provider"/>
        </w:rPr>
        <w:t xml:space="preserve">Goal: Create a strategy for identifying, selecting, and analyzing </w:t>
      </w:r>
      <w:r w:rsidR="000D40FE">
        <w:rPr>
          <w:rStyle w:val="ui-provider"/>
        </w:rPr>
        <w:t>R</w:t>
      </w:r>
      <w:r>
        <w:rPr>
          <w:rStyle w:val="ui-provider"/>
        </w:rPr>
        <w:t xml:space="preserve">eliability </w:t>
      </w:r>
      <w:r w:rsidR="000D40FE">
        <w:rPr>
          <w:rStyle w:val="ui-provider"/>
        </w:rPr>
        <w:t>R</w:t>
      </w:r>
      <w:r>
        <w:rPr>
          <w:rStyle w:val="ui-provider"/>
        </w:rPr>
        <w:t xml:space="preserve">isk </w:t>
      </w:r>
      <w:r w:rsidR="000D40FE">
        <w:rPr>
          <w:rStyle w:val="ui-provider"/>
        </w:rPr>
        <w:t>P</w:t>
      </w:r>
      <w:r>
        <w:rPr>
          <w:rStyle w:val="ui-provider"/>
        </w:rPr>
        <w:t xml:space="preserve">riorities </w:t>
      </w:r>
    </w:p>
    <w:p w14:paraId="4C0C6A04" w14:textId="23C640A6" w:rsidR="0028416B" w:rsidRDefault="0028416B" w:rsidP="007F6228">
      <w:pPr>
        <w:rPr>
          <w:rStyle w:val="ui-provider"/>
        </w:rPr>
      </w:pPr>
      <w:r>
        <w:rPr>
          <w:rStyle w:val="ui-provider"/>
        </w:rPr>
        <w:t>Measures of Success</w:t>
      </w:r>
    </w:p>
    <w:p w14:paraId="3FA80736" w14:textId="77777777" w:rsidR="004C6A05" w:rsidRDefault="007F6228" w:rsidP="007F6228">
      <w:pPr>
        <w:pStyle w:val="ListParagraph"/>
        <w:numPr>
          <w:ilvl w:val="0"/>
          <w:numId w:val="22"/>
        </w:numPr>
      </w:pPr>
      <w:r>
        <w:t>Develop road map for each RRP that outlines the main questions, challenges, and needs to be addressed, and by whom.</w:t>
      </w:r>
    </w:p>
    <w:p w14:paraId="0133B311" w14:textId="3D9A1342" w:rsidR="007F6228" w:rsidRDefault="004C6A05" w:rsidP="007F6228">
      <w:pPr>
        <w:pStyle w:val="ListParagraph"/>
        <w:numPr>
          <w:ilvl w:val="0"/>
          <w:numId w:val="22"/>
        </w:numPr>
      </w:pPr>
      <w:r>
        <w:t xml:space="preserve">Share </w:t>
      </w:r>
      <w:r w:rsidR="006F1912">
        <w:t>information on the prioritization process</w:t>
      </w:r>
      <w:r w:rsidR="00970845">
        <w:t xml:space="preserve"> and </w:t>
      </w:r>
      <w:r w:rsidR="00624EB5">
        <w:t xml:space="preserve">result of </w:t>
      </w:r>
      <w:r w:rsidR="00406D65">
        <w:t xml:space="preserve">RRP </w:t>
      </w:r>
      <w:proofErr w:type="gramStart"/>
      <w:r w:rsidR="00406D65">
        <w:t>selection</w:t>
      </w:r>
      <w:proofErr w:type="gramEnd"/>
      <w:r w:rsidR="00406D65">
        <w:t xml:space="preserve"> </w:t>
      </w:r>
      <w:r w:rsidR="007F6228">
        <w:t xml:space="preserve"> </w:t>
      </w:r>
    </w:p>
    <w:p w14:paraId="3BA0B82A" w14:textId="21E77543" w:rsidR="007F6228" w:rsidRDefault="003D4902" w:rsidP="007F6228">
      <w:pPr>
        <w:pStyle w:val="ListParagraph"/>
        <w:numPr>
          <w:ilvl w:val="0"/>
          <w:numId w:val="22"/>
        </w:numPr>
      </w:pPr>
      <w:r>
        <w:t xml:space="preserve">Coordinate with and support the </w:t>
      </w:r>
      <w:r w:rsidR="007F6228">
        <w:t xml:space="preserve">RRC on </w:t>
      </w:r>
      <w:r w:rsidR="000B5FF7">
        <w:t>its</w:t>
      </w:r>
      <w:r w:rsidR="007F6228">
        <w:t xml:space="preserve"> risk analysis </w:t>
      </w:r>
      <w:proofErr w:type="gramStart"/>
      <w:r w:rsidR="007F6228">
        <w:t>process</w:t>
      </w:r>
      <w:proofErr w:type="gramEnd"/>
      <w:r w:rsidR="007F6228">
        <w:t xml:space="preserve"> </w:t>
      </w:r>
    </w:p>
    <w:p w14:paraId="1349D799" w14:textId="641F487A" w:rsidR="009136BF" w:rsidRDefault="007F6228" w:rsidP="007F6228">
      <w:pPr>
        <w:pStyle w:val="ListParagraph"/>
        <w:numPr>
          <w:ilvl w:val="0"/>
          <w:numId w:val="22"/>
        </w:numPr>
      </w:pPr>
      <w:r>
        <w:lastRenderedPageBreak/>
        <w:t xml:space="preserve">Create plan for RRP development process in coordination with WECC staff by </w:t>
      </w:r>
      <w:proofErr w:type="gramStart"/>
      <w:r>
        <w:t>Q4</w:t>
      </w:r>
      <w:proofErr w:type="gramEnd"/>
    </w:p>
    <w:p w14:paraId="3970B8F4" w14:textId="0A6C50F1" w:rsidR="009136BF" w:rsidRPr="00B32F04" w:rsidRDefault="0056322C" w:rsidP="00FB7D99">
      <w:pPr>
        <w:pStyle w:val="ListParagraph"/>
        <w:numPr>
          <w:ilvl w:val="0"/>
          <w:numId w:val="22"/>
        </w:numPr>
      </w:pPr>
      <w:r>
        <w:t xml:space="preserve">Coordinate with RRC and RAC to ensure data and modeling needs to complete work on risks </w:t>
      </w:r>
      <w:proofErr w:type="gramStart"/>
      <w:r w:rsidR="00643D74">
        <w:t>are</w:t>
      </w:r>
      <w:proofErr w:type="gramEnd"/>
      <w:r w:rsidR="00643D74">
        <w:t xml:space="preserve"> fulfilled</w:t>
      </w:r>
    </w:p>
    <w:sectPr w:rsidR="009136BF" w:rsidRPr="00B32F04" w:rsidSect="0025541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38C6" w14:textId="77777777" w:rsidR="0087779A" w:rsidRDefault="0087779A" w:rsidP="00E60569">
      <w:r>
        <w:separator/>
      </w:r>
    </w:p>
    <w:p w14:paraId="2391C20C" w14:textId="77777777" w:rsidR="0087779A" w:rsidRDefault="0087779A" w:rsidP="00E60569"/>
  </w:endnote>
  <w:endnote w:type="continuationSeparator" w:id="0">
    <w:p w14:paraId="614C1201" w14:textId="77777777" w:rsidR="0087779A" w:rsidRDefault="0087779A" w:rsidP="00E60569">
      <w:r>
        <w:continuationSeparator/>
      </w:r>
    </w:p>
    <w:p w14:paraId="3E5B8D6D" w14:textId="77777777" w:rsidR="0087779A" w:rsidRDefault="0087779A" w:rsidP="00E60569"/>
  </w:endnote>
  <w:endnote w:type="continuationNotice" w:id="1">
    <w:p w14:paraId="075C3D01" w14:textId="77777777" w:rsidR="0087779A" w:rsidRDefault="008777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ECOM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2063625332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4D82F272" w14:textId="77777777" w:rsidR="00E115FD" w:rsidRPr="00E5288E" w:rsidRDefault="00FE6A90" w:rsidP="007B7780">
        <w:pPr>
          <w:pStyle w:val="Footer"/>
          <w:tabs>
            <w:tab w:val="clear" w:pos="4680"/>
            <w:tab w:val="center" w:pos="5040"/>
          </w:tabs>
          <w:rPr>
            <w:sz w:val="22"/>
          </w:rPr>
        </w:pPr>
        <w:r w:rsidRPr="00E5288E">
          <w:rPr>
            <w:sz w:val="22"/>
          </w:rPr>
          <w:drawing>
            <wp:inline distT="0" distB="0" distL="0" distR="0" wp14:anchorId="10116D2E" wp14:editId="07962C05">
              <wp:extent cx="413846" cy="274320"/>
              <wp:effectExtent l="0" t="0" r="571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ECC-LOGO_EVE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846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</w:rPr>
          <w:t xml:space="preserve"> </w:t>
        </w:r>
        <w:r w:rsidR="00F82512" w:rsidRPr="009B19EE">
          <w:rPr>
            <w:b w:val="0"/>
            <w:noProof w:val="0"/>
            <w:sz w:val="22"/>
          </w:rPr>
          <w:fldChar w:fldCharType="begin"/>
        </w:r>
        <w:r w:rsidR="00F82512" w:rsidRPr="009B19EE">
          <w:rPr>
            <w:b w:val="0"/>
            <w:sz w:val="22"/>
          </w:rPr>
          <w:instrText xml:space="preserve"> PAGE   \* MERGEFORMAT </w:instrText>
        </w:r>
        <w:r w:rsidR="00F82512" w:rsidRPr="009B19EE">
          <w:rPr>
            <w:b w:val="0"/>
            <w:noProof w:val="0"/>
            <w:sz w:val="22"/>
          </w:rPr>
          <w:fldChar w:fldCharType="separate"/>
        </w:r>
        <w:r w:rsidR="00640848">
          <w:rPr>
            <w:b w:val="0"/>
            <w:sz w:val="22"/>
          </w:rPr>
          <w:t>2</w:t>
        </w:r>
        <w:r w:rsidR="00F82512" w:rsidRPr="009B19EE">
          <w:rPr>
            <w:b w:val="0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87F5" w14:textId="77777777" w:rsidR="00323BC9" w:rsidRPr="002A59FD" w:rsidRDefault="002A59FD" w:rsidP="006D1E92">
    <w:pPr>
      <w:pStyle w:val="Footer"/>
      <w:pBdr>
        <w:top w:val="single" w:sz="48" w:space="1" w:color="00395D" w:themeColor="text2"/>
        <w:bottom w:val="single" w:sz="48" w:space="1" w:color="00395D" w:themeColor="text2"/>
      </w:pBdr>
      <w:shd w:val="clear" w:color="auto" w:fill="00395D" w:themeFill="text2"/>
      <w:tabs>
        <w:tab w:val="clear" w:pos="4680"/>
        <w:tab w:val="center" w:pos="5040"/>
      </w:tabs>
      <w:spacing w:before="120" w:after="120" w:line="276" w:lineRule="auto"/>
      <w:jc w:val="center"/>
      <w:rPr>
        <w:b w:val="0"/>
        <w:color w:val="FFFFFF" w:themeColor="background1"/>
        <w:spacing w:val="20"/>
        <w:sz w:val="22"/>
      </w:rPr>
    </w:pPr>
    <w:r w:rsidRPr="002A59FD">
      <w:rPr>
        <w:b w:val="0"/>
        <w:color w:val="FFFFFF" w:themeColor="background1"/>
        <w:spacing w:val="20"/>
        <w:sz w:val="22"/>
      </w:rPr>
      <w:t>155 North 400 West | Suite 200 | Salt Lake City, Utah 84103</w:t>
    </w:r>
    <w:r w:rsidRPr="002A59FD">
      <w:rPr>
        <w:b w:val="0"/>
        <w:color w:val="FFFFFF" w:themeColor="background1"/>
        <w:spacing w:val="20"/>
        <w:sz w:val="22"/>
      </w:rPr>
      <w:br/>
      <w:t>www.wecc.org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3344" w14:textId="77777777" w:rsidR="0087779A" w:rsidRDefault="0087779A" w:rsidP="00EA064E">
      <w:pPr>
        <w:spacing w:after="0"/>
      </w:pPr>
      <w:r>
        <w:separator/>
      </w:r>
    </w:p>
  </w:footnote>
  <w:footnote w:type="continuationSeparator" w:id="0">
    <w:p w14:paraId="421650FC" w14:textId="77777777" w:rsidR="0087779A" w:rsidRDefault="0087779A" w:rsidP="00E60569">
      <w:r>
        <w:continuationSeparator/>
      </w:r>
    </w:p>
    <w:p w14:paraId="6D2DBA45" w14:textId="77777777" w:rsidR="0087779A" w:rsidRDefault="0087779A" w:rsidP="00E60569"/>
  </w:footnote>
  <w:footnote w:type="continuationNotice" w:id="1">
    <w:p w14:paraId="2ADFEBF3" w14:textId="77777777" w:rsidR="0087779A" w:rsidRDefault="008777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CD0F" w14:textId="5D159BBB" w:rsidR="00EC13B8" w:rsidRDefault="0000557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1044960" wp14:editId="0B84D93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3" name="Text Box 3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20D74" w14:textId="405AD057" w:rsidR="0000557B" w:rsidRPr="0000557B" w:rsidRDefault="0000557B" w:rsidP="0000557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55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0449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lt;Public&gt;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27D20D74" w14:textId="405AD057" w:rsidR="0000557B" w:rsidRPr="0000557B" w:rsidRDefault="0000557B" w:rsidP="0000557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55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663B" w14:textId="2CC2AB25" w:rsidR="002352DF" w:rsidRPr="00711643" w:rsidRDefault="0000557B" w:rsidP="002352DF">
    <w:pPr>
      <w:pStyle w:val="Header"/>
      <w:contextualSpacing w:val="0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432C66C3" wp14:editId="605DBE61">
              <wp:simplePos x="6858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5" name="Text Box 5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99D8C" w14:textId="0EDDFC59" w:rsidR="0000557B" w:rsidRPr="0000557B" w:rsidRDefault="0000557B" w:rsidP="0000557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55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C66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&lt;Public&gt;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7FB99D8C" w14:textId="0EDDFC59" w:rsidR="0000557B" w:rsidRPr="0000557B" w:rsidRDefault="0000557B" w:rsidP="0000557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55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F46ECAE" w14:textId="77777777" w:rsidR="00E115FD" w:rsidRPr="002352DF" w:rsidRDefault="000A1755" w:rsidP="002352DF">
    <w:pPr>
      <w:pStyle w:val="Header"/>
      <w:spacing w:after="240"/>
      <w:contextualSpacing w:val="0"/>
      <w:rPr>
        <w:sz w:val="22"/>
        <w:szCs w:val="22"/>
      </w:rPr>
    </w:pPr>
    <w:r w:rsidRPr="002352DF">
      <w:rPr>
        <w:sz w:val="22"/>
        <w:szCs w:val="22"/>
      </w:rPr>
      <w:t>Document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C2A8" w14:textId="11359694" w:rsidR="00E60569" w:rsidRDefault="0000557B" w:rsidP="00A323FE">
    <w:pPr>
      <w:pStyle w:val="Header"/>
      <w:contextualSpacing w:val="0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4FDE5F64" wp14:editId="3D03BB0F">
              <wp:simplePos x="6858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2" name="Text Box 2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A02838" w14:textId="3133B10E" w:rsidR="0000557B" w:rsidRPr="0000557B" w:rsidRDefault="0000557B" w:rsidP="0000557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55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DE5F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&lt;Public&gt;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0EA02838" w14:textId="3133B10E" w:rsidR="0000557B" w:rsidRPr="0000557B" w:rsidRDefault="0000557B" w:rsidP="0000557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55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41853899"/>
        <w:docPartObj>
          <w:docPartGallery w:val="Watermarks"/>
          <w:docPartUnique/>
        </w:docPartObj>
      </w:sdtPr>
      <w:sdtEndPr/>
      <w:sdtContent>
        <w:r w:rsidR="00B91900">
          <w:rPr>
            <w:noProof/>
          </w:rPr>
          <w:pict w14:anchorId="0534FC9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323FE">
      <w:rPr>
        <w:noProof/>
      </w:rPr>
      <w:drawing>
        <wp:anchor distT="0" distB="0" distL="114300" distR="114300" simplePos="0" relativeHeight="251655680" behindDoc="1" locked="0" layoutInCell="1" allowOverlap="1" wp14:anchorId="27237909" wp14:editId="16E7111C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9A97B" w14:textId="05BBD7AD" w:rsidR="00F82512" w:rsidRDefault="00B32F04" w:rsidP="00E60569">
    <w:pPr>
      <w:pStyle w:val="Header"/>
      <w:contextualSpacing w:val="0"/>
    </w:pPr>
    <w:bookmarkStart w:id="0" w:name="_Hlk535242431"/>
    <w:bookmarkStart w:id="1" w:name="_Hlk535242432"/>
    <w:bookmarkStart w:id="2" w:name="_Hlk535242433"/>
    <w:bookmarkStart w:id="3" w:name="_Hlk535242435"/>
    <w:bookmarkStart w:id="4" w:name="_Hlk535242436"/>
    <w:bookmarkStart w:id="5" w:name="_Hlk535242437"/>
    <w:bookmarkStart w:id="6" w:name="_Hlk535242438"/>
    <w:bookmarkStart w:id="7" w:name="_Hlk535242439"/>
    <w:bookmarkStart w:id="8" w:name="_Hlk535242440"/>
    <w:r>
      <w:t>Draft JGC Goals</w:t>
    </w:r>
  </w:p>
  <w:p w14:paraId="1007B6AB" w14:textId="0FB680DC" w:rsidR="00CF774D" w:rsidRPr="00761FA8" w:rsidRDefault="00B32F04" w:rsidP="00E60569">
    <w:pPr>
      <w:pStyle w:val="Header"/>
      <w:contextualSpacing w:val="0"/>
    </w:pPr>
    <w:r>
      <w:t>Joint Guidance Committee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p w14:paraId="12F76F94" w14:textId="07C5111C" w:rsidR="00F82512" w:rsidRPr="00761FA8" w:rsidRDefault="00FB7D99" w:rsidP="00E60569">
    <w:pPr>
      <w:pStyle w:val="Header"/>
      <w:contextualSpacing w:val="0"/>
    </w:pPr>
    <w:r>
      <w:t>July 1</w:t>
    </w:r>
    <w:r w:rsidR="00B32F04"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70BC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E2F5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D69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3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6B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495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A2B8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3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F018C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0EFA40DE"/>
    <w:multiLevelType w:val="hybridMultilevel"/>
    <w:tmpl w:val="80F2331C"/>
    <w:lvl w:ilvl="0" w:tplc="D7F0C31A">
      <w:start w:val="1"/>
      <w:numFmt w:val="decimal"/>
      <w:lvlText w:val="%1."/>
      <w:lvlJc w:val="left"/>
      <w:pPr>
        <w:ind w:left="720" w:hanging="360"/>
      </w:pPr>
    </w:lvl>
    <w:lvl w:ilvl="1" w:tplc="62EC591C" w:tentative="1">
      <w:start w:val="1"/>
      <w:numFmt w:val="lowerLetter"/>
      <w:lvlText w:val="%2."/>
      <w:lvlJc w:val="left"/>
      <w:pPr>
        <w:ind w:left="1440" w:hanging="360"/>
      </w:pPr>
    </w:lvl>
    <w:lvl w:ilvl="2" w:tplc="04102B54" w:tentative="1">
      <w:start w:val="1"/>
      <w:numFmt w:val="lowerRoman"/>
      <w:lvlText w:val="%3."/>
      <w:lvlJc w:val="right"/>
      <w:pPr>
        <w:ind w:left="2160" w:hanging="180"/>
      </w:pPr>
    </w:lvl>
    <w:lvl w:ilvl="3" w:tplc="922C0658" w:tentative="1">
      <w:start w:val="1"/>
      <w:numFmt w:val="decimal"/>
      <w:lvlText w:val="%4."/>
      <w:lvlJc w:val="left"/>
      <w:pPr>
        <w:ind w:left="2880" w:hanging="360"/>
      </w:pPr>
    </w:lvl>
    <w:lvl w:ilvl="4" w:tplc="B0DA2576" w:tentative="1">
      <w:start w:val="1"/>
      <w:numFmt w:val="lowerLetter"/>
      <w:lvlText w:val="%5."/>
      <w:lvlJc w:val="left"/>
      <w:pPr>
        <w:ind w:left="3600" w:hanging="360"/>
      </w:pPr>
    </w:lvl>
    <w:lvl w:ilvl="5" w:tplc="7E74B608" w:tentative="1">
      <w:start w:val="1"/>
      <w:numFmt w:val="lowerRoman"/>
      <w:lvlText w:val="%6."/>
      <w:lvlJc w:val="right"/>
      <w:pPr>
        <w:ind w:left="4320" w:hanging="180"/>
      </w:pPr>
    </w:lvl>
    <w:lvl w:ilvl="6" w:tplc="E9367A72" w:tentative="1">
      <w:start w:val="1"/>
      <w:numFmt w:val="decimal"/>
      <w:lvlText w:val="%7."/>
      <w:lvlJc w:val="left"/>
      <w:pPr>
        <w:ind w:left="5040" w:hanging="360"/>
      </w:pPr>
    </w:lvl>
    <w:lvl w:ilvl="7" w:tplc="01209AA4" w:tentative="1">
      <w:start w:val="1"/>
      <w:numFmt w:val="lowerLetter"/>
      <w:lvlText w:val="%8."/>
      <w:lvlJc w:val="left"/>
      <w:pPr>
        <w:ind w:left="5760" w:hanging="360"/>
      </w:pPr>
    </w:lvl>
    <w:lvl w:ilvl="8" w:tplc="FAF2A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5783C"/>
    <w:multiLevelType w:val="hybridMultilevel"/>
    <w:tmpl w:val="DCAE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416F"/>
    <w:multiLevelType w:val="hybridMultilevel"/>
    <w:tmpl w:val="E032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6E66"/>
    <w:multiLevelType w:val="multilevel"/>
    <w:tmpl w:val="7CF686C2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52362206"/>
    <w:multiLevelType w:val="hybridMultilevel"/>
    <w:tmpl w:val="D1FE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514BC"/>
    <w:multiLevelType w:val="hybridMultilevel"/>
    <w:tmpl w:val="6904256A"/>
    <w:lvl w:ilvl="0" w:tplc="1CB49276">
      <w:start w:val="1"/>
      <w:numFmt w:val="decimal"/>
      <w:lvlText w:val="%1."/>
      <w:lvlJc w:val="left"/>
      <w:pPr>
        <w:ind w:left="720" w:hanging="360"/>
      </w:pPr>
    </w:lvl>
    <w:lvl w:ilvl="1" w:tplc="25581D00" w:tentative="1">
      <w:start w:val="1"/>
      <w:numFmt w:val="lowerLetter"/>
      <w:lvlText w:val="%2."/>
      <w:lvlJc w:val="left"/>
      <w:pPr>
        <w:ind w:left="1440" w:hanging="360"/>
      </w:pPr>
    </w:lvl>
    <w:lvl w:ilvl="2" w:tplc="01427FF0" w:tentative="1">
      <w:start w:val="1"/>
      <w:numFmt w:val="lowerRoman"/>
      <w:lvlText w:val="%3."/>
      <w:lvlJc w:val="right"/>
      <w:pPr>
        <w:ind w:left="2160" w:hanging="180"/>
      </w:pPr>
    </w:lvl>
    <w:lvl w:ilvl="3" w:tplc="AB348C76" w:tentative="1">
      <w:start w:val="1"/>
      <w:numFmt w:val="decimal"/>
      <w:lvlText w:val="%4."/>
      <w:lvlJc w:val="left"/>
      <w:pPr>
        <w:ind w:left="2880" w:hanging="360"/>
      </w:pPr>
    </w:lvl>
    <w:lvl w:ilvl="4" w:tplc="124A1578" w:tentative="1">
      <w:start w:val="1"/>
      <w:numFmt w:val="lowerLetter"/>
      <w:lvlText w:val="%5."/>
      <w:lvlJc w:val="left"/>
      <w:pPr>
        <w:ind w:left="3600" w:hanging="360"/>
      </w:pPr>
    </w:lvl>
    <w:lvl w:ilvl="5" w:tplc="082A8800" w:tentative="1">
      <w:start w:val="1"/>
      <w:numFmt w:val="lowerRoman"/>
      <w:lvlText w:val="%6."/>
      <w:lvlJc w:val="right"/>
      <w:pPr>
        <w:ind w:left="4320" w:hanging="180"/>
      </w:pPr>
    </w:lvl>
    <w:lvl w:ilvl="6" w:tplc="04A44D38" w:tentative="1">
      <w:start w:val="1"/>
      <w:numFmt w:val="decimal"/>
      <w:lvlText w:val="%7."/>
      <w:lvlJc w:val="left"/>
      <w:pPr>
        <w:ind w:left="5040" w:hanging="360"/>
      </w:pPr>
    </w:lvl>
    <w:lvl w:ilvl="7" w:tplc="B5F27AD8" w:tentative="1">
      <w:start w:val="1"/>
      <w:numFmt w:val="lowerLetter"/>
      <w:lvlText w:val="%8."/>
      <w:lvlJc w:val="left"/>
      <w:pPr>
        <w:ind w:left="5760" w:hanging="360"/>
      </w:pPr>
    </w:lvl>
    <w:lvl w:ilvl="8" w:tplc="2B585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F27B5"/>
    <w:multiLevelType w:val="multilevel"/>
    <w:tmpl w:val="CEFAE8A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6" w15:restartNumberingAfterBreak="0">
    <w:nsid w:val="68554A0C"/>
    <w:multiLevelType w:val="hybridMultilevel"/>
    <w:tmpl w:val="0130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B2E98"/>
    <w:multiLevelType w:val="multilevel"/>
    <w:tmpl w:val="D010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70A40498"/>
    <w:multiLevelType w:val="hybridMultilevel"/>
    <w:tmpl w:val="CF3E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D20B4"/>
    <w:multiLevelType w:val="hybridMultilevel"/>
    <w:tmpl w:val="902A0714"/>
    <w:lvl w:ilvl="0" w:tplc="F99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2E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A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0C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AB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68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89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E6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A7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24EC9"/>
    <w:multiLevelType w:val="hybridMultilevel"/>
    <w:tmpl w:val="7328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11AEC"/>
    <w:multiLevelType w:val="hybridMultilevel"/>
    <w:tmpl w:val="096498A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22B26"/>
    <w:multiLevelType w:val="hybridMultilevel"/>
    <w:tmpl w:val="AEF6892E"/>
    <w:lvl w:ilvl="0" w:tplc="6B3C6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728241">
    <w:abstractNumId w:val="20"/>
  </w:num>
  <w:num w:numId="2" w16cid:durableId="117996155">
    <w:abstractNumId w:val="14"/>
  </w:num>
  <w:num w:numId="3" w16cid:durableId="2093774120">
    <w:abstractNumId w:val="9"/>
  </w:num>
  <w:num w:numId="4" w16cid:durableId="1653095452">
    <w:abstractNumId w:val="10"/>
  </w:num>
  <w:num w:numId="5" w16cid:durableId="1075400120">
    <w:abstractNumId w:val="21"/>
  </w:num>
  <w:num w:numId="6" w16cid:durableId="966816769">
    <w:abstractNumId w:val="12"/>
  </w:num>
  <w:num w:numId="7" w16cid:durableId="2108429679">
    <w:abstractNumId w:val="19"/>
  </w:num>
  <w:num w:numId="8" w16cid:durableId="828711892">
    <w:abstractNumId w:val="15"/>
  </w:num>
  <w:num w:numId="9" w16cid:durableId="1959069113">
    <w:abstractNumId w:val="17"/>
  </w:num>
  <w:num w:numId="10" w16cid:durableId="528950998">
    <w:abstractNumId w:val="8"/>
  </w:num>
  <w:num w:numId="11" w16cid:durableId="1889605625">
    <w:abstractNumId w:val="7"/>
  </w:num>
  <w:num w:numId="12" w16cid:durableId="1912303861">
    <w:abstractNumId w:val="6"/>
  </w:num>
  <w:num w:numId="13" w16cid:durableId="1384596461">
    <w:abstractNumId w:val="5"/>
  </w:num>
  <w:num w:numId="14" w16cid:durableId="2015298484">
    <w:abstractNumId w:val="4"/>
  </w:num>
  <w:num w:numId="15" w16cid:durableId="899556150">
    <w:abstractNumId w:val="3"/>
  </w:num>
  <w:num w:numId="16" w16cid:durableId="668866254">
    <w:abstractNumId w:val="2"/>
  </w:num>
  <w:num w:numId="17" w16cid:durableId="1724985893">
    <w:abstractNumId w:val="1"/>
  </w:num>
  <w:num w:numId="18" w16cid:durableId="752550928">
    <w:abstractNumId w:val="0"/>
  </w:num>
  <w:num w:numId="19" w16cid:durableId="1426345936">
    <w:abstractNumId w:val="22"/>
  </w:num>
  <w:num w:numId="20" w16cid:durableId="399451676">
    <w:abstractNumId w:val="11"/>
  </w:num>
  <w:num w:numId="21" w16cid:durableId="42564388">
    <w:abstractNumId w:val="18"/>
  </w:num>
  <w:num w:numId="22" w16cid:durableId="948899822">
    <w:abstractNumId w:val="13"/>
  </w:num>
  <w:num w:numId="23" w16cid:durableId="19184431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sDCyNDIyMTM0szRX0lEKTi0uzszPAykwqwUAeaNWCSwAAAA="/>
  </w:docVars>
  <w:rsids>
    <w:rsidRoot w:val="00B32F04"/>
    <w:rsid w:val="0000557B"/>
    <w:rsid w:val="00095396"/>
    <w:rsid w:val="000A1755"/>
    <w:rsid w:val="000B5FF7"/>
    <w:rsid w:val="000D40FE"/>
    <w:rsid w:val="000F614E"/>
    <w:rsid w:val="001636D2"/>
    <w:rsid w:val="001A1779"/>
    <w:rsid w:val="001B7B7C"/>
    <w:rsid w:val="001B7CE9"/>
    <w:rsid w:val="001C35ED"/>
    <w:rsid w:val="002122A7"/>
    <w:rsid w:val="002267AC"/>
    <w:rsid w:val="0022692D"/>
    <w:rsid w:val="002352DF"/>
    <w:rsid w:val="00245949"/>
    <w:rsid w:val="00255412"/>
    <w:rsid w:val="0028416B"/>
    <w:rsid w:val="002949C3"/>
    <w:rsid w:val="002A41E5"/>
    <w:rsid w:val="002A59FD"/>
    <w:rsid w:val="002B4DA5"/>
    <w:rsid w:val="002D6242"/>
    <w:rsid w:val="002E1330"/>
    <w:rsid w:val="00323BC9"/>
    <w:rsid w:val="003760B2"/>
    <w:rsid w:val="003817E6"/>
    <w:rsid w:val="003A7EC5"/>
    <w:rsid w:val="003D4902"/>
    <w:rsid w:val="003D5586"/>
    <w:rsid w:val="003D6FA2"/>
    <w:rsid w:val="003E1973"/>
    <w:rsid w:val="003F1DA2"/>
    <w:rsid w:val="00406D65"/>
    <w:rsid w:val="0043738A"/>
    <w:rsid w:val="004657D5"/>
    <w:rsid w:val="00473E2D"/>
    <w:rsid w:val="004C6A05"/>
    <w:rsid w:val="004D1F97"/>
    <w:rsid w:val="00522BCB"/>
    <w:rsid w:val="00536F1A"/>
    <w:rsid w:val="00550DB3"/>
    <w:rsid w:val="0056322C"/>
    <w:rsid w:val="005C3178"/>
    <w:rsid w:val="00603CB7"/>
    <w:rsid w:val="00615177"/>
    <w:rsid w:val="00624EB5"/>
    <w:rsid w:val="00640848"/>
    <w:rsid w:val="00643D74"/>
    <w:rsid w:val="006508F0"/>
    <w:rsid w:val="006D1E92"/>
    <w:rsid w:val="006F1912"/>
    <w:rsid w:val="00711643"/>
    <w:rsid w:val="007130D6"/>
    <w:rsid w:val="0072676D"/>
    <w:rsid w:val="00737C97"/>
    <w:rsid w:val="00741C9D"/>
    <w:rsid w:val="00761FA8"/>
    <w:rsid w:val="007A46E1"/>
    <w:rsid w:val="007B2556"/>
    <w:rsid w:val="007B7780"/>
    <w:rsid w:val="007C51B6"/>
    <w:rsid w:val="007D1E7D"/>
    <w:rsid w:val="007F6228"/>
    <w:rsid w:val="008254F3"/>
    <w:rsid w:val="00852E2B"/>
    <w:rsid w:val="0087779A"/>
    <w:rsid w:val="008E0400"/>
    <w:rsid w:val="008E7488"/>
    <w:rsid w:val="008F3E53"/>
    <w:rsid w:val="009136BF"/>
    <w:rsid w:val="00913F27"/>
    <w:rsid w:val="00937FDD"/>
    <w:rsid w:val="009435B3"/>
    <w:rsid w:val="00944738"/>
    <w:rsid w:val="00970845"/>
    <w:rsid w:val="009A4D48"/>
    <w:rsid w:val="009B19EE"/>
    <w:rsid w:val="009D7222"/>
    <w:rsid w:val="009E040B"/>
    <w:rsid w:val="009E1D07"/>
    <w:rsid w:val="009F443B"/>
    <w:rsid w:val="00A323FE"/>
    <w:rsid w:val="00A7047B"/>
    <w:rsid w:val="00A90E09"/>
    <w:rsid w:val="00AA1816"/>
    <w:rsid w:val="00AB3BC2"/>
    <w:rsid w:val="00AF38F7"/>
    <w:rsid w:val="00B056FF"/>
    <w:rsid w:val="00B32F04"/>
    <w:rsid w:val="00B55A80"/>
    <w:rsid w:val="00B65AA6"/>
    <w:rsid w:val="00B91900"/>
    <w:rsid w:val="00B9772D"/>
    <w:rsid w:val="00BA550C"/>
    <w:rsid w:val="00BA58D6"/>
    <w:rsid w:val="00BA6854"/>
    <w:rsid w:val="00BA7DBE"/>
    <w:rsid w:val="00BD3125"/>
    <w:rsid w:val="00BF118D"/>
    <w:rsid w:val="00BF79BD"/>
    <w:rsid w:val="00C05765"/>
    <w:rsid w:val="00C11B97"/>
    <w:rsid w:val="00C420CC"/>
    <w:rsid w:val="00CB6BCC"/>
    <w:rsid w:val="00CD42FC"/>
    <w:rsid w:val="00CE190C"/>
    <w:rsid w:val="00CF774D"/>
    <w:rsid w:val="00D21EAF"/>
    <w:rsid w:val="00D72543"/>
    <w:rsid w:val="00DD6C1A"/>
    <w:rsid w:val="00DE64E1"/>
    <w:rsid w:val="00E115FD"/>
    <w:rsid w:val="00E5288E"/>
    <w:rsid w:val="00E56D7F"/>
    <w:rsid w:val="00E5719E"/>
    <w:rsid w:val="00E60569"/>
    <w:rsid w:val="00EA064E"/>
    <w:rsid w:val="00EA2394"/>
    <w:rsid w:val="00EA5C7C"/>
    <w:rsid w:val="00EB4AB9"/>
    <w:rsid w:val="00EC13B8"/>
    <w:rsid w:val="00EC4B79"/>
    <w:rsid w:val="00ED07A0"/>
    <w:rsid w:val="00F100F9"/>
    <w:rsid w:val="00F21CE3"/>
    <w:rsid w:val="00F2409A"/>
    <w:rsid w:val="00F25A74"/>
    <w:rsid w:val="00F57881"/>
    <w:rsid w:val="00F82512"/>
    <w:rsid w:val="00F83B52"/>
    <w:rsid w:val="00F853EC"/>
    <w:rsid w:val="00F8781A"/>
    <w:rsid w:val="00F91F31"/>
    <w:rsid w:val="00FB5BE1"/>
    <w:rsid w:val="00FB7D99"/>
    <w:rsid w:val="00FB7F77"/>
    <w:rsid w:val="00FC7363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2BA6D"/>
  <w15:chartTrackingRefBased/>
  <w15:docId w15:val="{2F6171F3-3491-4C37-AF27-CF32E079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CC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2"/>
    <w:qFormat/>
    <w:rsid w:val="008E0400"/>
    <w:pPr>
      <w:keepNext/>
      <w:keepLines/>
      <w:pBdr>
        <w:bottom w:val="single" w:sz="12" w:space="1" w:color="414042"/>
      </w:pBdr>
      <w:suppressAutoHyphens/>
      <w:spacing w:before="240"/>
      <w:outlineLvl w:val="0"/>
    </w:pPr>
    <w:rPr>
      <w:rFonts w:ascii="Lucida Sans" w:eastAsiaTheme="majorEastAsia" w:hAnsi="Lucida Sans" w:cstheme="majorBidi"/>
      <w:b/>
      <w:bCs/>
      <w:color w:val="000000" w:themeColor="text1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4657D5"/>
    <w:pPr>
      <w:suppressAutoHyphens/>
      <w:spacing w:before="240"/>
      <w:outlineLvl w:val="1"/>
    </w:pPr>
    <w:rPr>
      <w:rFonts w:ascii="Lucida Sans" w:hAnsi="Lucida Sans"/>
      <w:b/>
      <w:sz w:val="27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4657D5"/>
    <w:pPr>
      <w:suppressAutoHyphens/>
      <w:spacing w:before="240"/>
      <w:outlineLvl w:val="2"/>
    </w:pPr>
    <w:rPr>
      <w:rFonts w:ascii="Lucida Sans" w:hAnsi="Lucida Sans"/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9A4D4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569"/>
    <w:pPr>
      <w:tabs>
        <w:tab w:val="center" w:pos="5040"/>
        <w:tab w:val="right" w:pos="10080"/>
      </w:tabs>
      <w:spacing w:before="120"/>
      <w:contextualSpacing/>
      <w:jc w:val="right"/>
    </w:pPr>
    <w:rPr>
      <w:rFonts w:ascii="Lucida Sans" w:hAnsi="Lucida Sans"/>
      <w:b/>
      <w:color w:val="00395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569"/>
    <w:rPr>
      <w:rFonts w:ascii="Lucida Sans" w:hAnsi="Lucida Sans"/>
      <w:b/>
      <w:color w:val="00395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569"/>
    <w:pPr>
      <w:tabs>
        <w:tab w:val="center" w:pos="4680"/>
        <w:tab w:val="right" w:pos="10080"/>
      </w:tabs>
      <w:spacing w:after="0" w:line="240" w:lineRule="auto"/>
    </w:pPr>
    <w:rPr>
      <w:rFonts w:ascii="Lucida Sans" w:hAnsi="Lucida Sans"/>
      <w:b/>
      <w:noProof/>
      <w:color w:val="00395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569"/>
    <w:rPr>
      <w:rFonts w:ascii="Lucida Sans" w:hAnsi="Lucida Sans"/>
      <w:b/>
      <w:noProof/>
      <w:color w:val="00395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E0400"/>
    <w:rPr>
      <w:rFonts w:ascii="Lucida Sans" w:eastAsiaTheme="majorEastAsia" w:hAnsi="Lucida Sans" w:cstheme="majorBidi"/>
      <w:b/>
      <w:bCs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23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7"/>
    <w:qFormat/>
    <w:rsid w:val="002E1330"/>
    <w:pPr>
      <w:numPr>
        <w:numId w:val="6"/>
      </w:numPr>
      <w:suppressAutoHyphens/>
      <w:spacing w:before="1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1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97"/>
    <w:rPr>
      <w:rFonts w:ascii="Segoe UI" w:hAnsi="Segoe UI" w:cs="Segoe UI"/>
      <w:sz w:val="18"/>
      <w:szCs w:val="18"/>
    </w:rPr>
  </w:style>
  <w:style w:type="paragraph" w:styleId="Title">
    <w:name w:val="Title"/>
    <w:basedOn w:val="Header"/>
    <w:next w:val="Normal"/>
    <w:link w:val="TitleChar"/>
    <w:uiPriority w:val="10"/>
    <w:rsid w:val="009A4D48"/>
    <w:pPr>
      <w:spacing w:after="60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9A4D48"/>
    <w:rPr>
      <w:rFonts w:ascii="Lucida Sans" w:hAnsi="Lucida Sans"/>
      <w:b/>
      <w:color w:val="00395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4657D5"/>
    <w:rPr>
      <w:rFonts w:ascii="Lucida Sans" w:hAnsi="Lucida Sans"/>
      <w:b/>
      <w:sz w:val="27"/>
    </w:rPr>
  </w:style>
  <w:style w:type="character" w:customStyle="1" w:styleId="Heading3Char">
    <w:name w:val="Heading 3 Char"/>
    <w:basedOn w:val="DefaultParagraphFont"/>
    <w:link w:val="Heading3"/>
    <w:uiPriority w:val="4"/>
    <w:rsid w:val="004657D5"/>
    <w:rPr>
      <w:rFonts w:ascii="Lucida Sans" w:hAnsi="Lucida Sans"/>
      <w:b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5"/>
    <w:rsid w:val="007A46E1"/>
    <w:rPr>
      <w:rFonts w:asciiTheme="majorHAnsi" w:eastAsiaTheme="majorEastAsia" w:hAnsiTheme="majorHAnsi" w:cstheme="majorBidi"/>
      <w:i/>
      <w:iCs/>
      <w:color w:val="000000" w:themeColor="text1"/>
    </w:rPr>
  </w:style>
  <w:style w:type="paragraph" w:customStyle="1" w:styleId="FooterPG1">
    <w:name w:val="Footer PG1"/>
    <w:basedOn w:val="Normal"/>
    <w:link w:val="FooterPG1Char"/>
    <w:rsid w:val="00E60569"/>
    <w:pPr>
      <w:spacing w:after="0" w:line="240" w:lineRule="auto"/>
      <w:jc w:val="center"/>
    </w:pPr>
    <w:rPr>
      <w:rFonts w:ascii="Lucida Sans" w:hAnsi="Lucida Sans"/>
      <w:spacing w:val="20"/>
      <w:sz w:val="24"/>
      <w:szCs w:val="24"/>
    </w:rPr>
  </w:style>
  <w:style w:type="character" w:customStyle="1" w:styleId="FooterPG1Char">
    <w:name w:val="Footer PG1 Char"/>
    <w:basedOn w:val="DefaultParagraphFont"/>
    <w:link w:val="FooterPG1"/>
    <w:rsid w:val="00E60569"/>
    <w:rPr>
      <w:rFonts w:ascii="Lucida Sans" w:hAnsi="Lucida Sans"/>
      <w:spacing w:val="20"/>
      <w:sz w:val="24"/>
      <w:szCs w:val="24"/>
    </w:rPr>
  </w:style>
  <w:style w:type="table" w:styleId="TableGrid">
    <w:name w:val="Table Grid"/>
    <w:basedOn w:val="TableNormal"/>
    <w:uiPriority w:val="39"/>
    <w:rsid w:val="009E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E1D07"/>
    <w:pPr>
      <w:spacing w:after="0" w:line="240" w:lineRule="auto"/>
    </w:pPr>
    <w:tblPr>
      <w:tblStyleRowBandSize w:val="1"/>
      <w:tblStyleColBandSize w:val="1"/>
      <w:tblBorders>
        <w:top w:val="single" w:sz="4" w:space="0" w:color="005172" w:themeColor="accent1"/>
        <w:left w:val="single" w:sz="4" w:space="0" w:color="005172" w:themeColor="accent1"/>
        <w:bottom w:val="single" w:sz="4" w:space="0" w:color="005172" w:themeColor="accent1"/>
        <w:right w:val="single" w:sz="4" w:space="0" w:color="0051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172" w:themeFill="accent1"/>
      </w:tcPr>
    </w:tblStylePr>
    <w:tblStylePr w:type="lastRow">
      <w:rPr>
        <w:b/>
        <w:bCs/>
      </w:rPr>
      <w:tblPr/>
      <w:tcPr>
        <w:tcBorders>
          <w:top w:val="double" w:sz="4" w:space="0" w:color="0051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172" w:themeColor="accent1"/>
          <w:right w:val="single" w:sz="4" w:space="0" w:color="005172" w:themeColor="accent1"/>
        </w:tcBorders>
      </w:tcPr>
    </w:tblStylePr>
    <w:tblStylePr w:type="band1Horz">
      <w:tblPr/>
      <w:tcPr>
        <w:tcBorders>
          <w:top w:val="single" w:sz="4" w:space="0" w:color="005172" w:themeColor="accent1"/>
          <w:bottom w:val="single" w:sz="4" w:space="0" w:color="0051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172" w:themeColor="accent1"/>
          <w:left w:val="nil"/>
        </w:tcBorders>
      </w:tcPr>
    </w:tblStylePr>
    <w:tblStylePr w:type="swCell">
      <w:tblPr/>
      <w:tcPr>
        <w:tcBorders>
          <w:top w:val="double" w:sz="4" w:space="0" w:color="005172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D1E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Bullet">
    <w:name w:val="List Bullet"/>
    <w:basedOn w:val="Normal"/>
    <w:uiPriority w:val="6"/>
    <w:qFormat/>
    <w:rsid w:val="002E1330"/>
    <w:pPr>
      <w:numPr>
        <w:numId w:val="8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B55A80"/>
    <w:pPr>
      <w:numPr>
        <w:numId w:val="10"/>
      </w:numPr>
      <w:suppressAutoHyphens/>
      <w:spacing w:before="120"/>
      <w:ind w:left="720"/>
      <w:contextualSpacing/>
    </w:pPr>
    <w:rPr>
      <w:rFonts w:asciiTheme="minorHAnsi" w:hAnsiTheme="minorHAns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772D"/>
    <w:pPr>
      <w:suppressAutoHyphens/>
      <w:spacing w:before="120" w:line="240" w:lineRule="auto"/>
      <w:contextualSpacing/>
      <w:jc w:val="center"/>
    </w:pPr>
    <w:rPr>
      <w:rFonts w:asciiTheme="minorHAnsi" w:hAnsiTheme="minorHAnsi"/>
      <w:b/>
      <w:bCs/>
      <w:color w:val="000000" w:themeColor="text1"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7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72D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772D"/>
    <w:rPr>
      <w:vertAlign w:val="superscript"/>
    </w:rPr>
  </w:style>
  <w:style w:type="table" w:styleId="GridTable1Light">
    <w:name w:val="Grid Table 1 Light"/>
    <w:aliases w:val="WECC Table"/>
    <w:basedOn w:val="TableNormal"/>
    <w:uiPriority w:val="46"/>
    <w:rsid w:val="006D1E92"/>
    <w:pPr>
      <w:spacing w:after="0" w:line="240" w:lineRule="auto"/>
    </w:pPr>
    <w:rPr>
      <w:rFonts w:ascii="Palatino Linotype" w:hAnsi="Palatino Linotype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AECOMSans-Regular" w:hAnsi="AECOMSans-Regular"/>
        <w:b/>
        <w:bCs/>
        <w:i w:val="0"/>
        <w:color w:val="FFFFFF" w:themeColor="background1"/>
        <w:sz w:val="20"/>
      </w:rPr>
      <w:tblPr/>
      <w:tcPr>
        <w:shd w:val="clear" w:color="auto" w:fill="00395D" w:themeFill="text2"/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WECCDefault">
    <w:name w:val="WECC Default"/>
    <w:basedOn w:val="TableNormal"/>
    <w:uiPriority w:val="99"/>
    <w:rsid w:val="001A1779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4" w:type="dxa"/>
        <w:left w:w="115" w:type="dxa"/>
        <w:bottom w:w="14" w:type="dxa"/>
        <w:right w:w="115" w:type="dxa"/>
      </w:tcMar>
    </w:tcPr>
    <w:tblStylePr w:type="firstRow">
      <w:pPr>
        <w:jc w:val="left"/>
      </w:pPr>
      <w:rPr>
        <w:rFonts w:ascii="AECOMSans-Regular" w:hAnsi="AECOMSans-Regular"/>
        <w:b/>
        <w:sz w:val="22"/>
      </w:rPr>
      <w:tblPr/>
      <w:tcPr>
        <w:tcBorders>
          <w:top w:val="single" w:sz="4" w:space="0" w:color="666666" w:themeColor="accent5"/>
          <w:left w:val="single" w:sz="4" w:space="0" w:color="666666" w:themeColor="accent5"/>
          <w:bottom w:val="single" w:sz="4" w:space="0" w:color="666666" w:themeColor="accent5"/>
          <w:right w:val="single" w:sz="4" w:space="0" w:color="666666" w:themeColor="accent5"/>
          <w:insideH w:val="single" w:sz="4" w:space="0" w:color="666666" w:themeColor="accent5"/>
          <w:insideV w:val="single" w:sz="4" w:space="0" w:color="666666" w:themeColor="accent5"/>
        </w:tcBorders>
        <w:shd w:val="clear" w:color="auto" w:fill="00395D" w:themeFill="text2"/>
      </w:tcPr>
    </w:tblStylePr>
    <w:tblStylePr w:type="band2Horz">
      <w:tblPr/>
      <w:tcPr>
        <w:shd w:val="clear" w:color="auto" w:fill="E0E0E0" w:themeFill="accent5" w:themeFillTint="33"/>
      </w:tcPr>
    </w:tblStylePr>
  </w:style>
  <w:style w:type="character" w:customStyle="1" w:styleId="ui-provider">
    <w:name w:val="ui-provider"/>
    <w:basedOn w:val="DefaultParagraphFont"/>
    <w:rsid w:val="009136BF"/>
  </w:style>
  <w:style w:type="paragraph" w:customStyle="1" w:styleId="Normal2">
    <w:name w:val="Normal 2"/>
    <w:basedOn w:val="Normal"/>
    <w:link w:val="Normal2Char"/>
    <w:qFormat/>
    <w:rsid w:val="009136BF"/>
    <w:pPr>
      <w:spacing w:before="120"/>
      <w:ind w:left="720"/>
    </w:pPr>
  </w:style>
  <w:style w:type="character" w:customStyle="1" w:styleId="Normal2Char">
    <w:name w:val="Normal 2 Char"/>
    <w:basedOn w:val="DefaultParagraphFont"/>
    <w:link w:val="Normal2"/>
    <w:rsid w:val="009136BF"/>
    <w:rPr>
      <w:rFonts w:ascii="Palatino Linotype" w:hAnsi="Palatino Linotype"/>
    </w:rPr>
  </w:style>
  <w:style w:type="paragraph" w:styleId="Revision">
    <w:name w:val="Revision"/>
    <w:hidden/>
    <w:uiPriority w:val="99"/>
    <w:semiHidden/>
    <w:rsid w:val="001C35ED"/>
    <w:pPr>
      <w:spacing w:after="0" w:line="240" w:lineRule="auto"/>
    </w:pPr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BasicDocument.dotx" TargetMode="External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00395D"/>
      </a:dk2>
      <a:lt2>
        <a:srgbClr val="A99260"/>
      </a:lt2>
      <a:accent1>
        <a:srgbClr val="005172"/>
      </a:accent1>
      <a:accent2>
        <a:srgbClr val="005238"/>
      </a:accent2>
      <a:accent3>
        <a:srgbClr val="6D2D41"/>
      </a:accent3>
      <a:accent4>
        <a:srgbClr val="B53713"/>
      </a:accent4>
      <a:accent5>
        <a:srgbClr val="666666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16710
16712</Event_x0020_ID>
    <Committee xmlns="2fb8a92a-9032-49d6-b983-191f0a73b01f">
      <Value>JGC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Ravenscroft, Victoria</DisplayName>
        <AccountId>6231</AccountId>
        <AccountType/>
      </UserInfo>
    </Approver>
    <_dlc_DocId xmlns="4bd63098-0c83-43cf-abdd-085f2cc55a51">YWEQ7USXTMD7-11-23654</_dlc_DocId>
    <_dlc_DocIdUrl xmlns="4bd63098-0c83-43cf-abdd-085f2cc55a51">
      <Url>https://internal.wecc.org/_layouts/15/DocIdRedir.aspx?ID=YWEQ7USXTMD7-11-23654</Url>
      <Description>YWEQ7USXTMD7-11-23654</Description>
    </_dlc_DocIdUrl>
    <Jurisdiction xmlns="2fb8a92a-9032-49d6-b983-191f0a73b01f"/>
    <Meeting_x0020_Documents xmlns="2fb8a92a-9032-49d6-b983-191f0a73b01f">
      <Value>Presentation</Value>
    </Meeting_x0020_Documents>
    <_dlc_ExpireDate xmlns="http://schemas.microsoft.com/sharepoint/v3">2025-07-05T21:48:16+00:00</_dlc_ExpireDate>
    <Adopted_x002f_Approved_x0020_By xmlns="2fb8a92a-9032-49d6-b983-191f0a73b01f" xsi:nil="true"/>
    <_dlc_ExpireDateSaved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A265E686-821C-46C3-B76E-B0C8ED1B7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32BEC0-8555-4A5B-85B7-6040F3ACA6EA}"/>
</file>

<file path=customXml/itemProps3.xml><?xml version="1.0" encoding="utf-8"?>
<ds:datastoreItem xmlns:ds="http://schemas.openxmlformats.org/officeDocument/2006/customXml" ds:itemID="{883808DA-8D06-478D-9F67-37AE91561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8D720-DB71-400C-BAAF-CCA315420C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7157B3-F200-4FC2-8C69-963EF7CFEF7D}"/>
</file>

<file path=customXml/itemProps6.xml><?xml version="1.0" encoding="utf-8"?>
<ds:datastoreItem xmlns:ds="http://schemas.openxmlformats.org/officeDocument/2006/customXml" ds:itemID="{188B58AF-9B3B-40AD-9E0F-F385080D5579}"/>
</file>

<file path=docProps/app.xml><?xml version="1.0" encoding="utf-8"?>
<Properties xmlns="http://schemas.openxmlformats.org/officeDocument/2006/extended-properties" xmlns:vt="http://schemas.openxmlformats.org/officeDocument/2006/docPropsVTypes">
  <Template>BasicDocument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JGC Goals</dc:title>
  <dc:subject/>
  <dc:creator>Ravenscroft, Victoria</dc:creator>
  <cp:keywords/>
  <dc:description/>
  <cp:lastModifiedBy>Lee, Nicole</cp:lastModifiedBy>
  <cp:revision>2</cp:revision>
  <cp:lastPrinted>2019-01-04T22:00:00Z</cp:lastPrinted>
  <dcterms:created xsi:type="dcterms:W3CDTF">2023-06-30T20:08:00Z</dcterms:created>
  <dcterms:modified xsi:type="dcterms:W3CDTF">2023-06-30T20:08:00Z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ClassificationContentMarkingHeaderShapeIds">
    <vt:lpwstr>2,3,5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&lt;Public&gt;</vt:lpwstr>
  </property>
  <property fmtid="{D5CDD505-2E9C-101B-9397-08002B2CF9AE}" pid="6" name="MSIP_Label_878e9819-3d07-47f7-9697-834686d925a0_Enabled">
    <vt:lpwstr>true</vt:lpwstr>
  </property>
  <property fmtid="{D5CDD505-2E9C-101B-9397-08002B2CF9AE}" pid="7" name="MSIP_Label_878e9819-3d07-47f7-9697-834686d925a0_SetDate">
    <vt:lpwstr>2023-06-14T17:27:28Z</vt:lpwstr>
  </property>
  <property fmtid="{D5CDD505-2E9C-101B-9397-08002B2CF9AE}" pid="8" name="MSIP_Label_878e9819-3d07-47f7-9697-834686d925a0_Method">
    <vt:lpwstr>Privileged</vt:lpwstr>
  </property>
  <property fmtid="{D5CDD505-2E9C-101B-9397-08002B2CF9AE}" pid="9" name="MSIP_Label_878e9819-3d07-47f7-9697-834686d925a0_Name">
    <vt:lpwstr>Public</vt:lpwstr>
  </property>
  <property fmtid="{D5CDD505-2E9C-101B-9397-08002B2CF9AE}" pid="10" name="MSIP_Label_878e9819-3d07-47f7-9697-834686d925a0_SiteId">
    <vt:lpwstr>fd6f305d-c929-4e10-9d46-2e7058aae5e6</vt:lpwstr>
  </property>
  <property fmtid="{D5CDD505-2E9C-101B-9397-08002B2CF9AE}" pid="11" name="MSIP_Label_878e9819-3d07-47f7-9697-834686d925a0_ActionId">
    <vt:lpwstr>c4f7d562-f64f-450b-8cf6-34966f9912fa</vt:lpwstr>
  </property>
  <property fmtid="{D5CDD505-2E9C-101B-9397-08002B2CF9AE}" pid="12" name="MSIP_Label_878e9819-3d07-47f7-9697-834686d925a0_ContentBits">
    <vt:lpwstr>1</vt:lpwstr>
  </property>
  <property fmtid="{D5CDD505-2E9C-101B-9397-08002B2CF9AE}" pid="13" name="TaxKeyword">
    <vt:lpwstr/>
  </property>
  <property fmtid="{D5CDD505-2E9C-101B-9397-08002B2CF9AE}" pid="14" name="_dlc_policyId">
    <vt:lpwstr>0x010100E45EF0F8AAA65E428351BA36F1B645BE0F|1208973698</vt:lpwstr>
  </property>
  <property fmtid="{D5CDD505-2E9C-101B-9397-08002B2CF9AE}" pid="17" name="Meeting Documents">
    <vt:lpwstr>;#Presentation;#</vt:lpwstr>
  </property>
  <property fmtid="{D5CDD505-2E9C-101B-9397-08002B2CF9AE}" pid="18" name="_dlc_ExpireDate">
    <vt:filetime>2025-04-24T15:33:09Z</vt:filetime>
  </property>
  <property fmtid="{D5CDD505-2E9C-101B-9397-08002B2CF9AE}" pid="19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20" name="_dlc_DocIdItemGuid">
    <vt:lpwstr>12dbc40d-a206-45da-b2f4-5af368363e63</vt:lpwstr>
  </property>
</Properties>
</file>